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8CDF" w14:textId="77777777" w:rsidR="00034DA1" w:rsidRDefault="00034DA1"/>
    <w:p w14:paraId="19B290A5" w14:textId="1C4C5085" w:rsidR="001778B2" w:rsidRPr="005C510C" w:rsidRDefault="001778B2" w:rsidP="001778B2">
      <w:pPr>
        <w:jc w:val="center"/>
        <w:rPr>
          <w:rFonts w:ascii="TH Sarabun New" w:hAnsi="TH Sarabun New" w:cs="TH Sarabun New"/>
          <w:b/>
          <w:bCs/>
          <w:color w:val="D1D1D1" w:themeColor="background2" w:themeShade="E6"/>
          <w:sz w:val="36"/>
          <w:szCs w:val="36"/>
        </w:rPr>
      </w:pPr>
      <w:r w:rsidRPr="001778B2">
        <w:rPr>
          <w:rFonts w:ascii="TH Sarabun New" w:hAnsi="TH Sarabun New" w:cs="TH Sarabun New"/>
          <w:b/>
          <w:bCs/>
          <w:sz w:val="36"/>
          <w:szCs w:val="36"/>
          <w:cs/>
        </w:rPr>
        <w:t>เภสัชกรยุคใหม่ กับบทบาทที่ท้าทายในยุคดิจิทัล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5C510C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5C510C"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  <w:cs/>
        </w:rPr>
        <w:t>(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  <w:cs/>
        </w:rPr>
        <w:t xml:space="preserve">ชื่อบทความ ภาษาไทย </w:t>
      </w:r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6"/>
          <w:szCs w:val="36"/>
        </w:rPr>
        <w:t xml:space="preserve">TH </w:t>
      </w:r>
      <w:proofErr w:type="spellStart"/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6"/>
          <w:szCs w:val="36"/>
        </w:rPr>
        <w:t>Sarabun</w:t>
      </w:r>
      <w:proofErr w:type="spellEnd"/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</w:rPr>
        <w:t xml:space="preserve"> New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  <w:cs/>
        </w:rPr>
        <w:t xml:space="preserve">ขนาด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</w:rPr>
        <w:t xml:space="preserve">18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  <w:cs/>
        </w:rPr>
        <w:t>ตัวหนา</w:t>
      </w:r>
      <w:r w:rsidR="005C510C"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6"/>
          <w:szCs w:val="36"/>
          <w:cs/>
        </w:rPr>
        <w:t>)</w:t>
      </w:r>
    </w:p>
    <w:p w14:paraId="32848C43" w14:textId="77777777" w:rsidR="005C510C" w:rsidRDefault="005C510C" w:rsidP="001778B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Futuristic Pharmacist and a new paradigm shift in the age of </w:t>
      </w:r>
      <w:proofErr w:type="gramStart"/>
      <w:r>
        <w:rPr>
          <w:rFonts w:ascii="TH Sarabun New" w:hAnsi="TH Sarabun New" w:cs="TH Sarabun New"/>
          <w:b/>
          <w:bCs/>
          <w:sz w:val="32"/>
          <w:szCs w:val="32"/>
        </w:rPr>
        <w:t>digital</w:t>
      </w:r>
      <w:proofErr w:type="gramEnd"/>
    </w:p>
    <w:p w14:paraId="1954A82C" w14:textId="103A9576" w:rsidR="001778B2" w:rsidRPr="005C510C" w:rsidRDefault="001778B2" w:rsidP="001778B2">
      <w:pPr>
        <w:jc w:val="center"/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</w:pP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ชื่อบทความ ภาษา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อังกฤษ (ถ้ามี)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 xml:space="preserve"> </w:t>
      </w:r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  <w:t xml:space="preserve">TH </w:t>
      </w:r>
      <w:proofErr w:type="spellStart"/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  <w:t>Sarabun</w:t>
      </w:r>
      <w:proofErr w:type="spellEnd"/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  <w:t xml:space="preserve"> New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 xml:space="preserve">ขนาด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  <w:t>1</w:t>
      </w:r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  <w:t>6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  <w:t xml:space="preserve"> </w:t>
      </w:r>
      <w:r w:rsidRPr="005C510C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ตัวหนา</w:t>
      </w:r>
    </w:p>
    <w:p w14:paraId="727783A1" w14:textId="7CE8ACB3" w:rsidR="005C510C" w:rsidRDefault="005C510C" w:rsidP="005C510C">
      <w:pPr>
        <w:jc w:val="right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ดร.ภญ.คณิตา ดวงแจ่มกาญจน์ คณะเภสัชศาสตร์ มหาวิทยาลัยพะเยา</w:t>
      </w:r>
    </w:p>
    <w:p w14:paraId="2ADA7203" w14:textId="15A1C957" w:rsidR="001778B2" w:rsidRPr="00BC5334" w:rsidRDefault="001778B2" w:rsidP="00BC5334">
      <w:pPr>
        <w:jc w:val="right"/>
        <w:rPr>
          <w:rFonts w:ascii="TH Sarabun New" w:hAnsi="TH Sarabun New" w:cs="TH Sarabun New"/>
          <w:color w:val="ADADAD" w:themeColor="background2" w:themeShade="BF"/>
          <w:sz w:val="32"/>
          <w:szCs w:val="32"/>
        </w:rPr>
      </w:pP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 xml:space="preserve">ชื่อผู้แต่ง </w:t>
      </w:r>
      <w:r w:rsidR="005C510C"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 xml:space="preserve">นามสกุลผู้แต่ง </w:t>
      </w: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>และต้นสังกัด</w:t>
      </w:r>
    </w:p>
    <w:p w14:paraId="6C7E766D" w14:textId="77777777" w:rsidR="001778B2" w:rsidRPr="001778B2" w:rsidRDefault="001778B2">
      <w:pPr>
        <w:rPr>
          <w:rFonts w:ascii="TH Sarabun New" w:hAnsi="TH Sarabun New" w:cs="TH Sarabun New" w:hint="cs"/>
        </w:rPr>
      </w:pPr>
    </w:p>
    <w:p w14:paraId="6FC0E272" w14:textId="77777777" w:rsidR="005C510C" w:rsidRPr="005C510C" w:rsidRDefault="005C510C" w:rsidP="005C510C">
      <w:pPr>
        <w:rPr>
          <w:rFonts w:ascii="TH Sarabun New" w:hAnsi="TH Sarabun New" w:cs="TH Sarabun New"/>
          <w:color w:val="ADADAD" w:themeColor="background2" w:themeShade="BF"/>
          <w:sz w:val="32"/>
          <w:szCs w:val="32"/>
        </w:rPr>
      </w:pP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 xml:space="preserve">เนื้อหาบทความ </w:t>
      </w:r>
      <w:r w:rsidRPr="005C510C">
        <w:rPr>
          <w:rFonts w:ascii="TH Sarabun New" w:hAnsi="TH Sarabun New" w:cs="TH Sarabun New"/>
          <w:color w:val="ADADAD" w:themeColor="background2" w:themeShade="BF"/>
          <w:sz w:val="32"/>
          <w:szCs w:val="32"/>
        </w:rPr>
        <w:t xml:space="preserve">TH </w:t>
      </w:r>
      <w:proofErr w:type="spellStart"/>
      <w:r w:rsidRPr="005C510C">
        <w:rPr>
          <w:rFonts w:ascii="TH Sarabun New" w:hAnsi="TH Sarabun New" w:cs="TH Sarabun New"/>
          <w:color w:val="ADADAD" w:themeColor="background2" w:themeShade="BF"/>
          <w:sz w:val="32"/>
          <w:szCs w:val="32"/>
        </w:rPr>
        <w:t>Sarabun</w:t>
      </w:r>
      <w:proofErr w:type="spellEnd"/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</w:rPr>
        <w:t xml:space="preserve"> New </w:t>
      </w: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 xml:space="preserve">ขนาด </w:t>
      </w: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</w:rPr>
        <w:t>1</w:t>
      </w:r>
      <w:r w:rsidRPr="005C510C">
        <w:rPr>
          <w:rFonts w:ascii="TH Sarabun New" w:hAnsi="TH Sarabun New" w:cs="TH Sarabun New"/>
          <w:color w:val="ADADAD" w:themeColor="background2" w:themeShade="BF"/>
          <w:sz w:val="32"/>
          <w:szCs w:val="32"/>
        </w:rPr>
        <w:t>6</w:t>
      </w: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</w:rPr>
        <w:t xml:space="preserve"> </w:t>
      </w:r>
      <w:r w:rsidRPr="005C510C">
        <w:rPr>
          <w:rFonts w:ascii="TH Sarabun New" w:hAnsi="TH Sarabun New" w:cs="TH Sarabun New" w:hint="cs"/>
          <w:color w:val="ADADAD" w:themeColor="background2" w:themeShade="BF"/>
          <w:sz w:val="32"/>
          <w:szCs w:val="32"/>
          <w:cs/>
        </w:rPr>
        <w:t>ตัวหนา</w:t>
      </w:r>
    </w:p>
    <w:p w14:paraId="2E428B0E" w14:textId="6A8FD298" w:rsidR="001778B2" w:rsidRDefault="005C510C" w:rsidP="00BC5334">
      <w:pPr>
        <w:ind w:firstLine="720"/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ในยุคสมัยที่เทคโนโลยีและข้อมูลข่าวสารมีการเปลี่ยนแปลงอย่างรวดเร็ว บทบาทของเภสัชกรก็เปลี่ยนแปลงไปจากเดิมมาก เภสัชกรยุคใหม่ไม่ใช่แค่ผู้จ่ายยา แต่ต้องเป็นผู้เชี่ยวชาญด้านยาที่มีความรู้รอบด้าน สามารถให้คำปรึกษาและดูแลผู้ป่วยได้อย่างครบวงจร</w:t>
      </w:r>
      <w:r w:rsidR="00BC5334">
        <w:rPr>
          <w:rFonts w:ascii="TH Sarabun New" w:hAnsi="TH Sarabun New" w:cs="TH Sarabun New"/>
          <w:sz w:val="32"/>
          <w:szCs w:val="32"/>
        </w:rPr>
        <w:t xml:space="preserve"> </w:t>
      </w:r>
      <w:r w:rsidRPr="005C510C">
        <w:rPr>
          <w:rFonts w:ascii="TH Sarabun New" w:hAnsi="TH Sarabun New" w:cs="TH Sarabun New"/>
          <w:sz w:val="32"/>
          <w:szCs w:val="32"/>
          <w:cs/>
        </w:rPr>
        <w:t>ดังนั้น การเรียนรู้ตลอดชีวิตจึงเป็นสิ่งที่จำเป็นอย่างยิ่งสำหรับเภสัชกรยุคใหม่ เภสัชกรต้องติดตามความรู้ใหม่ ๆ อยู่เสมอ ไม่ว่าจะเป็นความรู้เกี่ยวกับยา โรค การรักษา เทคโนโลยี และอื่นๆ ที่เกี่ยวข้องกับงานเภสัชกรรม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1EDEB21" w14:textId="43F38011" w:rsidR="005C510C" w:rsidRPr="005C510C" w:rsidRDefault="005C510C" w:rsidP="005C510C">
      <w:p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b/>
          <w:bCs/>
          <w:sz w:val="32"/>
          <w:szCs w:val="32"/>
          <w:cs/>
        </w:rPr>
        <w:t>บทบาทที่ท้าทาย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C510C">
        <w:rPr>
          <w:rFonts w:ascii="TH Sarabun New" w:hAnsi="TH Sarabun New" w:cs="TH Sarabun New"/>
          <w:sz w:val="32"/>
          <w:szCs w:val="32"/>
          <w:cs/>
        </w:rPr>
        <w:t>เภสัชกรยุคใหม่ต้องเผชิญกับบทบาทที่ท้าทายหลายประการ ดังนี้</w:t>
      </w:r>
    </w:p>
    <w:p w14:paraId="44767429" w14:textId="77777777" w:rsidR="005C510C" w:rsidRPr="005C510C" w:rsidRDefault="005C510C" w:rsidP="005C51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ความรู้ที่ล้นหลาม: เภสัชกรต้องติดตามความรู้ใหม่ ๆ เกี่ยวกับยา โรค การรักษา เทคโนโลยี และอื่นๆ ที่เกี่ยวข้องกับงานเภสัชกรรมอยู่เสมอ</w:t>
      </w:r>
    </w:p>
    <w:p w14:paraId="0F532B81" w14:textId="77777777" w:rsidR="005C510C" w:rsidRPr="005C510C" w:rsidRDefault="005C510C" w:rsidP="005C51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เทคโนโลยี: เภสัชกรต้องคุ้นเคยกับการใช้เทคโนโลยีใหม่ ๆ ในงานเภสัชกรรม เช่น ระบบการจ่ายยาอัตโนมัติ โปรแกรมคอมพิวเตอร์สำหรับการให้คำปรึกษาผู้ป่วย</w:t>
      </w:r>
    </w:p>
    <w:p w14:paraId="04B8A8D7" w14:textId="77777777" w:rsidR="005C510C" w:rsidRPr="005C510C" w:rsidRDefault="005C510C" w:rsidP="005C51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 xml:space="preserve">การสื่อสาร: เภสัชกรต้องสามารถสื่อสาร </w:t>
      </w:r>
      <w:r w:rsidRPr="005C510C">
        <w:rPr>
          <w:rFonts w:ascii="TH Sarabun New" w:hAnsi="TH Sarabun New" w:cs="TH Sarabun New"/>
          <w:sz w:val="32"/>
          <w:szCs w:val="32"/>
        </w:rPr>
        <w:t xml:space="preserve">effectively </w:t>
      </w:r>
      <w:r w:rsidRPr="005C510C">
        <w:rPr>
          <w:rFonts w:ascii="TH Sarabun New" w:hAnsi="TH Sarabun New" w:cs="TH Sarabun New"/>
          <w:sz w:val="32"/>
          <w:szCs w:val="32"/>
          <w:cs/>
        </w:rPr>
        <w:t>กับผู้ป่วย บุคลากรทางการแพทย์อื่นๆ และประชาชนทั่วไป</w:t>
      </w:r>
    </w:p>
    <w:p w14:paraId="3B3203B1" w14:textId="77777777" w:rsidR="005C510C" w:rsidRPr="005C510C" w:rsidRDefault="005C510C" w:rsidP="005C510C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จริยธรรม: เภสัชกรต้องยึดมั่นในจริยธรรมของวิชาชีพ</w:t>
      </w:r>
    </w:p>
    <w:p w14:paraId="0959C11C" w14:textId="55C1586C" w:rsidR="005C510C" w:rsidRPr="005C510C" w:rsidRDefault="005C510C" w:rsidP="005C510C">
      <w:p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การเรียนรู้ตลอดชีวิต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C510C">
        <w:rPr>
          <w:rFonts w:ascii="TH Sarabun New" w:hAnsi="TH Sarabun New" w:cs="TH Sarabun New"/>
          <w:sz w:val="32"/>
          <w:szCs w:val="32"/>
          <w:cs/>
        </w:rPr>
        <w:t>การเรียนรู้ตลอดชีวิต เป็นกุญแจสำคัญที่ช่วยให้เภสัชกรสามารถเผชิญกับบทบาทที่ท้าทายเหล่านี้ได้ เภสัชกรสามารถเรียนรู้ตลอดชีวิตได้หลายวิธี เช่น</w:t>
      </w:r>
    </w:p>
    <w:p w14:paraId="0BA6F2B4" w14:textId="77777777" w:rsidR="005C510C" w:rsidRPr="005C510C" w:rsidRDefault="005C510C" w:rsidP="005C51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เข้าร่วมอบรม หรือ สัมมนา ที่เกี่ยวข้องกับงานเภสัชกรรม</w:t>
      </w:r>
    </w:p>
    <w:p w14:paraId="1EB9ACE6" w14:textId="77777777" w:rsidR="005C510C" w:rsidRPr="005C510C" w:rsidRDefault="005C510C" w:rsidP="005C51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อ่านวารสาร หรือ บทความ เกี่ยวกับยา โรค การรักษา</w:t>
      </w:r>
    </w:p>
    <w:p w14:paraId="542AAE4C" w14:textId="77777777" w:rsidR="005C510C" w:rsidRPr="005C510C" w:rsidRDefault="005C510C" w:rsidP="005C51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ศึกษาข้อมูล ผ่าน เว็บไซต์ หรือ สื่อออนไลน์</w:t>
      </w:r>
    </w:p>
    <w:p w14:paraId="046D830A" w14:textId="77777777" w:rsidR="005C510C" w:rsidRPr="005C510C" w:rsidRDefault="005C510C" w:rsidP="005C510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แลกเปลี่ยนความรู้ กับเภสัชกรคนอื่น ๆ</w:t>
      </w:r>
    </w:p>
    <w:p w14:paraId="7848B98C" w14:textId="77777777" w:rsidR="005C510C" w:rsidRPr="005C510C" w:rsidRDefault="005C510C" w:rsidP="005C510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C510C">
        <w:rPr>
          <w:rFonts w:ascii="TH Sarabun New" w:hAnsi="TH Sarabun New" w:cs="TH Sarabun New"/>
          <w:b/>
          <w:bCs/>
          <w:sz w:val="32"/>
          <w:szCs w:val="32"/>
          <w:cs/>
        </w:rPr>
        <w:t>ตัวอย่างบทบาทของเภสัชกรยุคใหม่</w:t>
      </w:r>
    </w:p>
    <w:p w14:paraId="284C7F19" w14:textId="77777777" w:rsidR="005C510C" w:rsidRPr="005C510C" w:rsidRDefault="005C510C" w:rsidP="005C51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เภสัชกรชุมชน: ให้คำปรึกษาเกี่ยวกับยา ดูแลผู้ป่วยโรคเรื้อรัง จัดทำยาแผนโบราณ</w:t>
      </w:r>
    </w:p>
    <w:p w14:paraId="19B4B135" w14:textId="77777777" w:rsidR="005C510C" w:rsidRPr="005C510C" w:rsidRDefault="005C510C" w:rsidP="005C51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เภสัชกรโรงพยาบาล: จ่ายยาให้ผู้ป่วย ร่วมตรวจผู้ป่วย ให้คำปรึกษาแพทย์เกี่ยวกับยา</w:t>
      </w:r>
    </w:p>
    <w:p w14:paraId="43FF10E6" w14:textId="77777777" w:rsidR="005C510C" w:rsidRPr="005C510C" w:rsidRDefault="005C510C" w:rsidP="005C51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lastRenderedPageBreak/>
        <w:t>เภสัชกรนักวิจัย: วิจัยพัฒนายาใหม่ ศึกษาประสิทธิภาพและความปลอดภัยของยา</w:t>
      </w:r>
    </w:p>
    <w:p w14:paraId="2B382ECF" w14:textId="77777777" w:rsidR="005C510C" w:rsidRPr="005C510C" w:rsidRDefault="005C510C" w:rsidP="005C51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เภสัชกรนักวิชาการ: สอนนักศึกษาเภสัชกรรม เขียนตำราเภสัชกรรม</w:t>
      </w:r>
    </w:p>
    <w:p w14:paraId="25687A37" w14:textId="77777777" w:rsidR="005C510C" w:rsidRPr="005C510C" w:rsidRDefault="005C510C" w:rsidP="005C510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C510C">
        <w:rPr>
          <w:rFonts w:ascii="TH Sarabun New" w:hAnsi="TH Sarabun New" w:cs="TH Sarabun New"/>
          <w:b/>
          <w:bCs/>
          <w:sz w:val="32"/>
          <w:szCs w:val="32"/>
          <w:cs/>
        </w:rPr>
        <w:t>บทสรุป</w:t>
      </w:r>
    </w:p>
    <w:p w14:paraId="18F7DEDF" w14:textId="428C8E73" w:rsidR="005C510C" w:rsidRPr="005C510C" w:rsidRDefault="005C510C" w:rsidP="005C510C">
      <w:pPr>
        <w:rPr>
          <w:rFonts w:ascii="TH Sarabun New" w:hAnsi="TH Sarabun New" w:cs="TH Sarabun New"/>
          <w:sz w:val="32"/>
          <w:szCs w:val="32"/>
        </w:rPr>
      </w:pPr>
      <w:r w:rsidRPr="005C510C">
        <w:rPr>
          <w:rFonts w:ascii="TH Sarabun New" w:hAnsi="TH Sarabun New" w:cs="TH Sarabun New"/>
          <w:sz w:val="32"/>
          <w:szCs w:val="32"/>
          <w:cs/>
        </w:rPr>
        <w:t>เภสัชกรยุคใหม่มีบทบาทสำคัญต่อระบบสุขภาพ เภสัชกรต้องมีความรู้รอบด้าน ทักษะการสื่อสารที่ดี และสามารถใช้เทคโนโลยีใหม่ๆ ได้อย่างมีประสิทธิภาพ การเรียนรู้ตลอดชีวิตจะช่วยให้เภสัชกรสามารถพัฒนาตนเองอยู่เสมอและพร้อมรับมือกับบทบาทที่ท้าทายในยุคดิจิทัล</w:t>
      </w:r>
    </w:p>
    <w:p w14:paraId="782DCC34" w14:textId="77777777" w:rsidR="005C510C" w:rsidRPr="005C510C" w:rsidRDefault="005C510C" w:rsidP="005C510C">
      <w:pPr>
        <w:rPr>
          <w:rFonts w:ascii="TH Sarabun New" w:hAnsi="TH Sarabun New" w:cs="TH Sarabun New"/>
          <w:sz w:val="32"/>
          <w:szCs w:val="32"/>
        </w:rPr>
      </w:pPr>
    </w:p>
    <w:p w14:paraId="0FFFD3C4" w14:textId="35B3965C" w:rsidR="005C510C" w:rsidRPr="005C510C" w:rsidRDefault="005C510C" w:rsidP="005C510C">
      <w:pPr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</w:pPr>
      <w:r w:rsidRPr="005C510C">
        <w:rPr>
          <w:rFonts w:ascii="TH Sarabun New" w:hAnsi="TH Sarabun New" w:cs="TH Sarabun New"/>
          <w:b/>
          <w:bCs/>
          <w:sz w:val="32"/>
          <w:szCs w:val="32"/>
          <w:cs/>
        </w:rPr>
        <w:t>เอกสารอ้างอิง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C510C">
        <w:rPr>
          <w:rFonts w:ascii="TH Sarabun New" w:hAnsi="TH Sarabun New" w:cs="TH Sarabun New"/>
          <w:b/>
          <w:bCs/>
          <w:color w:val="ADADAD" w:themeColor="background2" w:themeShade="BF"/>
          <w:sz w:val="32"/>
          <w:szCs w:val="32"/>
        </w:rPr>
        <w:t>(In Vancouver format)</w:t>
      </w:r>
    </w:p>
    <w:p w14:paraId="2446B484" w14:textId="4C6F6743" w:rsidR="001778B2" w:rsidRPr="005C510C" w:rsidRDefault="005C510C" w:rsidP="005C510C">
      <w:pPr>
        <w:pStyle w:val="ListParagraph"/>
        <w:numPr>
          <w:ilvl w:val="0"/>
          <w:numId w:val="1"/>
        </w:numPr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</w:pPr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 xml:space="preserve">Smith J, Brown H. The evolving role of pharmacists in the digital age. J Pharm </w:t>
      </w:r>
      <w:proofErr w:type="spellStart"/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>Pract</w:t>
      </w:r>
      <w:proofErr w:type="spellEnd"/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>. 2022;35(2):123-30.</w:t>
      </w:r>
    </w:p>
    <w:p w14:paraId="3C8F7CC5" w14:textId="608015BF" w:rsidR="005C510C" w:rsidRPr="005C510C" w:rsidRDefault="005C510C" w:rsidP="005C510C">
      <w:pPr>
        <w:pStyle w:val="ListParagraph"/>
        <w:numPr>
          <w:ilvl w:val="0"/>
          <w:numId w:val="1"/>
        </w:numPr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</w:pPr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 xml:space="preserve">Council on Pharmacy Education. Accreditation standards and policies. Chicago: Council on Pharmacy Education; 2023. [Online]. Available from: </w:t>
      </w:r>
      <w:hyperlink r:id="rId7" w:tgtFrame="_blank" w:history="1">
        <w:r w:rsidRPr="005C510C">
          <w:rPr>
            <w:rStyle w:val="Hyperlink"/>
            <w:rFonts w:ascii="TH Sarabun New" w:hAnsi="TH Sarabun New" w:cs="TH Sarabun New" w:hint="cs"/>
            <w:b/>
            <w:bCs/>
            <w:sz w:val="32"/>
            <w:szCs w:val="32"/>
            <w:shd w:val="clear" w:color="auto" w:fill="FFFFFF"/>
          </w:rPr>
          <w:t>https://www.acpe-accredit.org/</w:t>
        </w:r>
      </w:hyperlink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 xml:space="preserve"> [Accessed 2024-04-02].</w:t>
      </w:r>
    </w:p>
    <w:p w14:paraId="57882211" w14:textId="114E41B1" w:rsidR="005C510C" w:rsidRPr="005C510C" w:rsidRDefault="005C510C" w:rsidP="005C510C">
      <w:pPr>
        <w:pStyle w:val="ListParagraph"/>
        <w:numPr>
          <w:ilvl w:val="0"/>
          <w:numId w:val="1"/>
        </w:numPr>
        <w:rPr>
          <w:rFonts w:ascii="TH Sarabun New" w:hAnsi="TH Sarabun New" w:cs="TH Sarabun New" w:hint="cs"/>
          <w:b/>
          <w:bCs/>
          <w:sz w:val="32"/>
          <w:szCs w:val="32"/>
        </w:rPr>
      </w:pPr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 xml:space="preserve">National Association of Boards of Pharmacy. Model Practice Act. Alexandria, VA: National Association of Boards of Pharmacy; 2024. [Online]. Available from: </w:t>
      </w:r>
      <w:hyperlink r:id="rId8" w:tgtFrame="_blank" w:history="1">
        <w:r w:rsidRPr="005C510C">
          <w:rPr>
            <w:rStyle w:val="Hyperlink"/>
            <w:rFonts w:ascii="TH Sarabun New" w:hAnsi="TH Sarabun New" w:cs="TH Sarabun New" w:hint="cs"/>
            <w:b/>
            <w:bCs/>
            <w:sz w:val="32"/>
            <w:szCs w:val="32"/>
            <w:shd w:val="clear" w:color="auto" w:fill="FFFFFF"/>
          </w:rPr>
          <w:t>https://nabp.pharmacy/</w:t>
        </w:r>
      </w:hyperlink>
      <w:r w:rsidRPr="005C510C">
        <w:rPr>
          <w:rStyle w:val="Strong"/>
          <w:rFonts w:ascii="TH Sarabun New" w:hAnsi="TH Sarabun New" w:cs="TH Sarabun New" w:hint="cs"/>
          <w:b w:val="0"/>
          <w:bCs w:val="0"/>
          <w:color w:val="1F1F1F"/>
          <w:sz w:val="32"/>
          <w:szCs w:val="32"/>
          <w:shd w:val="clear" w:color="auto" w:fill="FFFFFF"/>
        </w:rPr>
        <w:t xml:space="preserve"> [Accessed 2024-04-02].</w:t>
      </w:r>
    </w:p>
    <w:sectPr w:rsidR="005C510C" w:rsidRPr="005C510C" w:rsidSect="001778B2">
      <w:headerReference w:type="default" r:id="rId9"/>
      <w:footerReference w:type="even" r:id="rId10"/>
      <w:footerReference w:type="default" r:id="rId11"/>
      <w:pgSz w:w="12240" w:h="15840"/>
      <w:pgMar w:top="720" w:right="720" w:bottom="720" w:left="720" w:header="2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D533" w14:textId="77777777" w:rsidR="001778B2" w:rsidRDefault="001778B2" w:rsidP="001778B2">
      <w:r>
        <w:separator/>
      </w:r>
    </w:p>
  </w:endnote>
  <w:endnote w:type="continuationSeparator" w:id="0">
    <w:p w14:paraId="160757BD" w14:textId="77777777" w:rsidR="001778B2" w:rsidRDefault="001778B2" w:rsidP="00177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1221098519"/>
      <w:docPartObj>
        <w:docPartGallery w:val="Page Numbers (Bottom of Page)"/>
        <w:docPartUnique/>
      </w:docPartObj>
    </w:sdtPr>
    <w:sdtContent>
      <w:p w14:paraId="5E7056AC" w14:textId="764A8886" w:rsidR="001778B2" w:rsidRDefault="001778B2" w:rsidP="00FE2A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5169EA2" w14:textId="77777777" w:rsidR="001778B2" w:rsidRDefault="001778B2" w:rsidP="001778B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 New" w:hAnsi="TH Sarabun New" w:cs="TH Sarabun New" w:hint="cs"/>
        <w:b/>
        <w:bCs/>
        <w:color w:val="747474" w:themeColor="background2" w:themeShade="80"/>
        <w:sz w:val="28"/>
        <w:szCs w:val="28"/>
        <w:cs/>
      </w:rPr>
      <w:id w:val="92292546"/>
      <w:docPartObj>
        <w:docPartGallery w:val="Page Numbers (Bottom of Page)"/>
        <w:docPartUnique/>
      </w:docPartObj>
    </w:sdtPr>
    <w:sdtContent>
      <w:p w14:paraId="7674ACA0" w14:textId="56B752DD" w:rsidR="001778B2" w:rsidRPr="001778B2" w:rsidRDefault="001778B2" w:rsidP="00FE2A1B">
        <w:pPr>
          <w:pStyle w:val="Footer"/>
          <w:framePr w:wrap="none" w:vAnchor="text" w:hAnchor="margin" w:xAlign="right" w:y="1"/>
          <w:rPr>
            <w:rStyle w:val="PageNumber"/>
            <w:rFonts w:ascii="TH Sarabun New" w:hAnsi="TH Sarabun New" w:cs="TH Sarabun New" w:hint="cs"/>
            <w:b/>
            <w:bCs/>
            <w:color w:val="747474" w:themeColor="background2" w:themeShade="80"/>
            <w:sz w:val="28"/>
            <w:szCs w:val="28"/>
          </w:rPr>
        </w:pPr>
        <w:r w:rsidRPr="001778B2">
          <w:rPr>
            <w:rStyle w:val="PageNumber"/>
            <w:rFonts w:ascii="TH Sarabun New" w:hAnsi="TH Sarabun New" w:cs="TH Sarabun New" w:hint="cs"/>
            <w:b/>
            <w:bCs/>
            <w:color w:val="747474" w:themeColor="background2" w:themeShade="80"/>
            <w:sz w:val="28"/>
            <w:szCs w:val="28"/>
            <w:cs/>
          </w:rPr>
          <w:fldChar w:fldCharType="begin"/>
        </w:r>
        <w:r w:rsidRPr="001778B2">
          <w:rPr>
            <w:rStyle w:val="PageNumber"/>
            <w:rFonts w:ascii="TH Sarabun New" w:hAnsi="TH Sarabun New" w:cs="TH Sarabun New" w:hint="cs"/>
            <w:b/>
            <w:bCs/>
            <w:color w:val="747474" w:themeColor="background2" w:themeShade="80"/>
            <w:sz w:val="28"/>
            <w:szCs w:val="28"/>
          </w:rPr>
          <w:instrText xml:space="preserve"> PAGE </w:instrText>
        </w:r>
        <w:r w:rsidRPr="001778B2">
          <w:rPr>
            <w:rStyle w:val="PageNumber"/>
            <w:rFonts w:ascii="TH Sarabun New" w:hAnsi="TH Sarabun New" w:cs="TH Sarabun New" w:hint="cs"/>
            <w:b/>
            <w:bCs/>
            <w:color w:val="747474" w:themeColor="background2" w:themeShade="80"/>
            <w:sz w:val="28"/>
            <w:szCs w:val="28"/>
            <w:cs/>
          </w:rPr>
          <w:fldChar w:fldCharType="separate"/>
        </w:r>
        <w:r w:rsidRPr="001778B2">
          <w:rPr>
            <w:rStyle w:val="PageNumber"/>
            <w:rFonts w:ascii="TH Sarabun New" w:hAnsi="TH Sarabun New" w:cs="TH Sarabun New" w:hint="cs"/>
            <w:b/>
            <w:bCs/>
            <w:noProof/>
            <w:color w:val="747474" w:themeColor="background2" w:themeShade="80"/>
            <w:sz w:val="28"/>
            <w:szCs w:val="28"/>
          </w:rPr>
          <w:t>1</w:t>
        </w:r>
        <w:r w:rsidRPr="001778B2">
          <w:rPr>
            <w:rStyle w:val="PageNumber"/>
            <w:rFonts w:ascii="TH Sarabun New" w:hAnsi="TH Sarabun New" w:cs="TH Sarabun New" w:hint="cs"/>
            <w:b/>
            <w:bCs/>
            <w:color w:val="747474" w:themeColor="background2" w:themeShade="80"/>
            <w:sz w:val="28"/>
            <w:szCs w:val="28"/>
            <w:cs/>
          </w:rPr>
          <w:fldChar w:fldCharType="end"/>
        </w:r>
      </w:p>
    </w:sdtContent>
  </w:sdt>
  <w:p w14:paraId="1BAF9E4A" w14:textId="05CA99D0" w:rsidR="001778B2" w:rsidRPr="001778B2" w:rsidRDefault="001778B2" w:rsidP="001778B2">
    <w:pPr>
      <w:pStyle w:val="Footer"/>
      <w:ind w:right="360"/>
      <w:rPr>
        <w:rFonts w:ascii="TH Sarabun New" w:hAnsi="TH Sarabun New" w:cs="TH Sarabun New" w:hint="cs"/>
        <w:color w:val="747474" w:themeColor="background2" w:themeShade="80"/>
        <w:sz w:val="22"/>
        <w:szCs w:val="28"/>
      </w:rPr>
    </w:pPr>
    <w:r>
      <w:rPr>
        <w:rFonts w:ascii="TH Sarabun New" w:hAnsi="TH Sarabun New" w:cs="TH Sarabun New" w:hint="cs"/>
        <w:color w:val="747474" w:themeColor="background2" w:themeShade="80"/>
        <w:sz w:val="22"/>
        <w:szCs w:val="28"/>
      </w:rPr>
      <w:sym w:font="Symbol" w:char="F0D3"/>
    </w:r>
    <w:r>
      <w:rPr>
        <w:rFonts w:ascii="TH Sarabun New" w:hAnsi="TH Sarabun New" w:cs="TH Sarabun New" w:hint="cs"/>
        <w:color w:val="747474" w:themeColor="background2" w:themeShade="80"/>
        <w:sz w:val="22"/>
        <w:szCs w:val="28"/>
        <w:cs/>
      </w:rPr>
      <w:t xml:space="preserve"> </w:t>
    </w:r>
    <w:r w:rsidRPr="001778B2">
      <w:rPr>
        <w:rFonts w:ascii="TH Sarabun New" w:hAnsi="TH Sarabun New" w:cs="TH Sarabun New" w:hint="cs"/>
        <w:color w:val="747474" w:themeColor="background2" w:themeShade="80"/>
        <w:sz w:val="28"/>
        <w:szCs w:val="28"/>
        <w:cs/>
      </w:rPr>
      <w:t>ศูนย์การศึกษาต่อเนื่องทางเภสัชศาสตร์ สภาเภสัชกรรม</w:t>
    </w:r>
    <w:r w:rsidRPr="001778B2">
      <w:rPr>
        <w:rFonts w:ascii="TH Sarabun New" w:hAnsi="TH Sarabun New" w:cs="TH Sarabun New" w:hint="cs"/>
        <w:color w:val="747474" w:themeColor="background2" w:themeShade="80"/>
        <w:sz w:val="28"/>
        <w:szCs w:val="28"/>
        <w:cs/>
      </w:rPr>
      <w:t xml:space="preserve"> พ.ศ. </w:t>
    </w:r>
    <w:r w:rsidRPr="001778B2">
      <w:rPr>
        <w:rFonts w:ascii="TH Sarabun New" w:hAnsi="TH Sarabun New" w:cs="TH Sarabun New"/>
        <w:color w:val="747474" w:themeColor="background2" w:themeShade="80"/>
        <w:sz w:val="28"/>
        <w:szCs w:val="28"/>
      </w:rPr>
      <w:t>2567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98D8F" w14:textId="77777777" w:rsidR="001778B2" w:rsidRDefault="001778B2" w:rsidP="001778B2">
      <w:r>
        <w:separator/>
      </w:r>
    </w:p>
  </w:footnote>
  <w:footnote w:type="continuationSeparator" w:id="0">
    <w:p w14:paraId="612C5D38" w14:textId="77777777" w:rsidR="001778B2" w:rsidRDefault="001778B2" w:rsidP="00177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F1B9" w14:textId="752DAFAB" w:rsidR="001778B2" w:rsidRDefault="001778B2" w:rsidP="001778B2">
    <w:pPr>
      <w:pStyle w:val="Header"/>
    </w:pPr>
    <w:r>
      <w:rPr>
        <w:rFonts w:hint="cs"/>
        <w:noProof/>
      </w:rPr>
      <w:drawing>
        <wp:inline distT="0" distB="0" distL="0" distR="0" wp14:anchorId="460AFAEE" wp14:editId="632B0E78">
          <wp:extent cx="6494969" cy="782727"/>
          <wp:effectExtent l="0" t="0" r="0" b="5080"/>
          <wp:docPr id="1429063732" name="Picture 1" descr="A white and blue cover with text and imag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063732" name="Picture 1" descr="A white and blue cover with text and images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557"/>
                  <a:stretch/>
                </pic:blipFill>
                <pic:spPr bwMode="auto">
                  <a:xfrm>
                    <a:off x="0" y="0"/>
                    <a:ext cx="6519137" cy="785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40AABA" w14:textId="77777777" w:rsidR="001778B2" w:rsidRDefault="001778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3FE6"/>
    <w:multiLevelType w:val="hybridMultilevel"/>
    <w:tmpl w:val="5054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47E67"/>
    <w:multiLevelType w:val="hybridMultilevel"/>
    <w:tmpl w:val="099C1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C7D8B"/>
    <w:multiLevelType w:val="hybridMultilevel"/>
    <w:tmpl w:val="1CB4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B57AD"/>
    <w:multiLevelType w:val="hybridMultilevel"/>
    <w:tmpl w:val="8102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173552">
    <w:abstractNumId w:val="1"/>
  </w:num>
  <w:num w:numId="2" w16cid:durableId="2031180862">
    <w:abstractNumId w:val="0"/>
  </w:num>
  <w:num w:numId="3" w16cid:durableId="543828048">
    <w:abstractNumId w:val="2"/>
  </w:num>
  <w:num w:numId="4" w16cid:durableId="621032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B2"/>
    <w:rsid w:val="00034DA1"/>
    <w:rsid w:val="000A12B6"/>
    <w:rsid w:val="001778B2"/>
    <w:rsid w:val="005C510C"/>
    <w:rsid w:val="009836AA"/>
    <w:rsid w:val="009E5F78"/>
    <w:rsid w:val="00BC5334"/>
    <w:rsid w:val="00DF6B9F"/>
    <w:rsid w:val="00EA239B"/>
    <w:rsid w:val="00EA5E78"/>
    <w:rsid w:val="00FE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D9DCB0"/>
  <w15:chartTrackingRefBased/>
  <w15:docId w15:val="{F5F82AD5-749C-964B-91FE-FA369BB8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8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78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78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8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78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78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78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78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78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8B2"/>
    <w:rPr>
      <w:rFonts w:asciiTheme="majorHAnsi" w:eastAsiaTheme="majorEastAsia" w:hAnsiTheme="majorHAnsi" w:cstheme="majorBidi"/>
      <w:color w:val="0F4761" w:themeColor="accent1" w:themeShade="BF"/>
      <w:sz w:val="40"/>
      <w:szCs w:val="5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778B2"/>
    <w:rPr>
      <w:rFonts w:asciiTheme="majorHAnsi" w:eastAsiaTheme="majorEastAsia" w:hAnsiTheme="majorHAnsi" w:cstheme="majorBidi"/>
      <w:color w:val="0F4761" w:themeColor="accent1" w:themeShade="BF"/>
      <w:sz w:val="32"/>
      <w:szCs w:val="4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78B2"/>
    <w:rPr>
      <w:rFonts w:eastAsiaTheme="majorEastAsia" w:cstheme="majorBidi"/>
      <w:color w:val="0F4761" w:themeColor="accent1" w:themeShade="BF"/>
      <w:sz w:val="28"/>
      <w:szCs w:val="35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8B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78B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78B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78B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78B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78B2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778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778B2"/>
    <w:rPr>
      <w:rFonts w:asciiTheme="majorHAnsi" w:eastAsiaTheme="majorEastAsia" w:hAnsiTheme="majorHAnsi" w:cstheme="majorBidi"/>
      <w:spacing w:val="-10"/>
      <w:kern w:val="28"/>
      <w:sz w:val="56"/>
      <w:szCs w:val="71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78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778B2"/>
    <w:rPr>
      <w:rFonts w:eastAsiaTheme="majorEastAsia" w:cstheme="majorBidi"/>
      <w:color w:val="595959" w:themeColor="text1" w:themeTint="A6"/>
      <w:spacing w:val="15"/>
      <w:sz w:val="28"/>
      <w:szCs w:val="35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778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78B2"/>
    <w:rPr>
      <w:rFonts w:cs="Angsana New"/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1778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78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78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78B2"/>
    <w:rPr>
      <w:rFonts w:cs="Angsana New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778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7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8B2"/>
    <w:rPr>
      <w:rFonts w:cs="Angsana Ne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8B2"/>
    <w:rPr>
      <w:rFonts w:cs="Angsana New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778B2"/>
  </w:style>
  <w:style w:type="paragraph" w:styleId="NormalWeb">
    <w:name w:val="Normal (Web)"/>
    <w:basedOn w:val="Normal"/>
    <w:uiPriority w:val="99"/>
    <w:semiHidden/>
    <w:unhideWhenUsed/>
    <w:rsid w:val="005C510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TH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C510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C510C"/>
    <w:rPr>
      <w:i/>
      <w:iCs/>
    </w:rPr>
  </w:style>
  <w:style w:type="character" w:styleId="Strong">
    <w:name w:val="Strong"/>
    <w:basedOn w:val="DefaultParagraphFont"/>
    <w:uiPriority w:val="22"/>
    <w:qFormat/>
    <w:rsid w:val="005C51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bp.pharmac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cpe-accredit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kkhanita duangchaemkarn</dc:creator>
  <cp:keywords/>
  <dc:description/>
  <cp:lastModifiedBy>kkhanita duangchaemkarn</cp:lastModifiedBy>
  <cp:revision>1</cp:revision>
  <dcterms:created xsi:type="dcterms:W3CDTF">2024-04-02T04:43:00Z</dcterms:created>
  <dcterms:modified xsi:type="dcterms:W3CDTF">2024-04-02T05:04:00Z</dcterms:modified>
</cp:coreProperties>
</file>